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Title"/>
        <w:rPr>
          <w:rFonts w:ascii="Times New Roman" w:cs="Times New Roman" w:eastAsia="Times New Roman" w:hAnsi="Times New Roman"/>
        </w:rPr>
      </w:pPr>
      <w:bookmarkStart w:colFirst="0" w:colLast="0" w:name="_ri32wc8gucb9" w:id="0"/>
      <w:bookmarkEnd w:id="0"/>
      <w:r w:rsidDel="00000000" w:rsidR="00000000" w:rsidRPr="00000000">
        <w:rPr>
          <w:rFonts w:ascii="Times New Roman" w:cs="Times New Roman" w:eastAsia="Times New Roman" w:hAnsi="Times New Roman"/>
          <w:rtl w:val="0"/>
        </w:rPr>
        <w:t xml:space="preserve">User Manual</w:t>
      </w:r>
    </w:p>
    <w:p w:rsidR="00000000" w:rsidDel="00000000" w:rsidP="00000000" w:rsidRDefault="00000000" w:rsidRPr="00000000" w14:paraId="00000002">
      <w:pPr>
        <w:pStyle w:val="Subtitle"/>
        <w:rPr>
          <w:rFonts w:ascii="Times New Roman" w:cs="Times New Roman" w:eastAsia="Times New Roman" w:hAnsi="Times New Roman"/>
          <w:color w:val="000000"/>
        </w:rPr>
      </w:pPr>
      <w:bookmarkStart w:colFirst="0" w:colLast="0" w:name="_5zac8tlgu2go" w:id="1"/>
      <w:bookmarkEnd w:id="1"/>
      <w:r w:rsidDel="00000000" w:rsidR="00000000" w:rsidRPr="00000000">
        <w:rPr>
          <w:rFonts w:ascii="Times New Roman" w:cs="Times New Roman" w:eastAsia="Times New Roman" w:hAnsi="Times New Roman"/>
          <w:color w:val="000000"/>
          <w:rtl w:val="0"/>
        </w:rPr>
        <w:t xml:space="preserve">NuMom (Keeping Moms &amp; Infants Healthy) V8</w:t>
      </w:r>
    </w:p>
    <w:p w:rsidR="00000000" w:rsidDel="00000000" w:rsidP="00000000" w:rsidRDefault="00000000" w:rsidRPr="00000000" w14:paraId="00000003">
      <w:pPr>
        <w:spacing w:after="240" w:before="24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user is greeted with the Login page when initially opening the application. On this page, there are options for the user to log in to their account, a “Forgot Password” button that will navigate to another page where the user can enter their email to reset their password. There is also a “Swipe up to Sign up” option which navigates users to a welcome page before the user is requested to enter their name and date of birth. Throughout the signup process, the user is requested precedent information to gain access to the application, as well as any other information needed to create an account. During the sign-up process, the app will enroll the user in the SMS messaging service. The user should receive a text message shortly after their account is created.</w:t>
      </w:r>
    </w:p>
    <w:p w:rsidR="00000000" w:rsidDel="00000000" w:rsidP="00000000" w:rsidRDefault="00000000" w:rsidRPr="00000000" w14:paraId="00000004">
      <w:pPr>
        <w:spacing w:after="240" w:before="24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ab/>
        <w:t xml:space="preserve">Once the user has logged in or completed their account sign-up, they are directed to the homepage where they are welcomed to the app. On the homepage, the user will see six things, a map of their immediate location, a welcome banner, the cog for the settings page, the “Facilities” tab, the “Learn” tab, and the “Resources” tab. If the user clicks on the cog, they will be navigated to the settings page where they can view their account information– this includes their name, date of birth, phone number, and questions answered in the signup process: “Are you pregnant?”, “Do you have any infants?” The user has the ability to edit these responses. On the Settings page, the user also has the option to log out in the upper righthand corner. This is the only way the user will be able to completely log out the app.</w:t>
      </w:r>
    </w:p>
    <w:p w:rsidR="00000000" w:rsidDel="00000000" w:rsidP="00000000" w:rsidRDefault="00000000" w:rsidRPr="00000000" w14:paraId="00000005">
      <w:pPr>
        <w:spacing w:after="240" w:before="24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ab/>
        <w:t xml:space="preserve">The user may then leave the Settings tab and navigate back to the homepage, they may click on the Facilities page where the user is given three options: “Clinics” and “Shelters”. Upon clicking the “Clinics” tab the user will be able to see a list of clinics sorted by proximity. The user is given the clinic name, address, and distance from the user’s current location. At the top of the clinics page, the user can filter the list by distance (i.e. five miles, ten miles, and 15 miles away) or by services. Services include abortions, free materials and immunication. The user can tap on a specified clinic where they are also given the clinic’s website, phone number, and services offered. The Shelters tab is similar to the clinics tab, however there is no filter. Once the user taps on a specified shelter, they are given the shelter website, number, the service hours, and the shelter’s welcoming statement.</w:t>
      </w:r>
    </w:p>
    <w:p w:rsidR="00000000" w:rsidDel="00000000" w:rsidP="00000000" w:rsidRDefault="00000000" w:rsidRPr="00000000" w14:paraId="00000006">
      <w:pPr>
        <w:spacing w:after="240" w:before="240" w:line="240" w:lineRule="auto"/>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Once the user navigates back to the homepage, they may navigate to the “Learn” page. On the Learn page, the user is given to tabs: “STD Awareness” and “Protected Sex”. The “STD Awareness page provides a list of transmittable diseases resulting from unprotected sec. For each STD, the user can view information on the symptoms, the testing procedure for diagnosis of said STD, and treatment for the STD, consequence if the STD is left untreated, and when it is safe to begin sexual activity. The “Protected Sex” exphasizes safe sex, and uses female condoms as resource for safe sex. A brief explanation of what a female condom and picture of it is provided at the top of the page. The user may navigate to two options on this page: “Female Condom Do’s and Don’ts” and “How to Insert and Remove a Female Condom”. The “Female Condom Do’s and Don’ts” informs the user on the proper uses of female condoms, essentially what to do and what not to do. The Do’s are organized at the top and the Don’ts are listed at the bottom. “How to Insert and Remove a Female Condom” gives the user a step by step process of condom insertion. This page gives a detailed process on condom uses, care, and proper disposal. </w:t>
      </w:r>
    </w:p>
    <w:p w:rsidR="00000000" w:rsidDel="00000000" w:rsidP="00000000" w:rsidRDefault="00000000" w:rsidRPr="00000000" w14:paraId="00000007">
      <w:pPr>
        <w:spacing w:after="240" w:before="240" w:line="240" w:lineRule="auto"/>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user may then leave the Learn tab and navigate back to the homepage. Selecting the “Resources” tab, the user is greeted with a list of tabs: “Apply to WIC”, “Apple to Medicaid”, “Appointments”, “Documents”, “Immunizations”, and “References”. </w:t>
      </w:r>
    </w:p>
    <w:p w:rsidR="00000000" w:rsidDel="00000000" w:rsidP="00000000" w:rsidRDefault="00000000" w:rsidRPr="00000000" w14:paraId="00000008">
      <w:pPr>
        <w:spacing w:after="240" w:before="24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Navigating to the “Apply to WIC” page, the user will be able to see a “Checklist”, “Feeding”, “Locations”, “Website”. The Checklist page allows the user to enter information required for applying for WIC: “Family members” – Each member who is applying to receive WIC, “Proof of Income of all family members” – Salaries, child support, alimony, foster care payments, interest withdrawn, unemployment, etc. The Feeding tab informs the mother on the guidelines for feeding infants 0-12 months old. The user must select the correct age range of the infant by scrolling. Each age range comes with information on food options and alternatives for the infant. Once the user reaches the end of the list, additional information is given on foods to avoid for infants, and important notes for the mother. The Location tab shows the user a list of WIC facilities in their general vicinity. The Website tab is a direct link to the WIC homepage.</w:t>
      </w:r>
    </w:p>
    <w:p w:rsidR="00000000" w:rsidDel="00000000" w:rsidP="00000000" w:rsidRDefault="00000000" w:rsidRPr="00000000" w14:paraId="00000009">
      <w:pPr>
        <w:spacing w:after="240" w:before="24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ab/>
        <w:t xml:space="preserve">The “Apply to Medicaid” tab will bring the user to a page consisting of a link to the Medicaid site, a checklist of items to bring to their Medicaid appointment, and a locations tab containing nearby Medicaid offices which functions similarly to the “Facilities” tab, but for Medicaid locations. </w:t>
      </w:r>
    </w:p>
    <w:p w:rsidR="00000000" w:rsidDel="00000000" w:rsidP="00000000" w:rsidRDefault="00000000" w:rsidRPr="00000000" w14:paraId="0000000A">
      <w:pPr>
        <w:spacing w:after="240" w:before="24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ab/>
        <w:t xml:space="preserve">Navigating to the “Appointments” tab, the user may be able to add and remove any appointments, titling the appointments accordingly. The user will be able to add appointments via a plus (+) sign at the top of the page. Once the information is entered, it is stored in the Firebase system and is ready to be viewed. The user will then be prompted for access to their device’s calendar in order to sync their appointments. To delete an appointment, the user can simply tap the trash can icon next to their appointment information.</w:t>
      </w:r>
    </w:p>
    <w:p w:rsidR="00000000" w:rsidDel="00000000" w:rsidP="00000000" w:rsidRDefault="00000000" w:rsidRPr="00000000" w14:paraId="0000000B">
      <w:pPr>
        <w:spacing w:after="240" w:before="24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ab/>
        <w:t xml:space="preserve">The “Documents” tab operates similarly to the “Appointments” tab, however, the key difference is the user may upload an image, edit the image by cropping it and selecting ‘OK’. The user will then be prompted with an input box that allows the user to name the file. These files will be immediately stored in the cloud via Firebase and the user will be able to view them on the documents page.</w:t>
      </w:r>
    </w:p>
    <w:p w:rsidR="00000000" w:rsidDel="00000000" w:rsidP="00000000" w:rsidRDefault="00000000" w:rsidRPr="00000000" w14:paraId="0000000C">
      <w:pPr>
        <w:spacing w:after="240" w:before="24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ab/>
        <w:t xml:space="preserve">On the “Immunization” tab, users are greeted with three buttons at the top of the page: a plus (+) sign to add to the Immunization Register, an envelope to send an email of the immunizations listed on the page, and a calendar icon. Tapping the plus sign will navigate the user to a page where they may register the type of immunization their child received, the dosage, date, and any additional information. The envelope creates an email using the user’s primary email of every immunization listed on the Immunization Register. Lastly, the calendar icon will navigate the user to the “Immunization Schedule” where the user can view the immunizations their child has received and check off any new immunizations received. The list is organized by the infant’s age, from birth to 2 months old, to 4 months old, etc. Under each age range, immunizations received are listed. As the user enters immunizations to the Immunization Register, the list of immunizations are automatically checked off in the Immunization Schedule. This provides an easier alternative for the user to keep track of their child’s immunizations.</w:t>
      </w:r>
    </w:p>
    <w:p w:rsidR="00000000" w:rsidDel="00000000" w:rsidP="00000000" w:rsidRDefault="00000000" w:rsidRPr="00000000" w14:paraId="0000000D">
      <w:pPr>
        <w:spacing w:after="240" w:before="240" w:line="240" w:lineRule="auto"/>
        <w:rPr/>
      </w:pPr>
      <w:r w:rsidDel="00000000" w:rsidR="00000000" w:rsidRPr="00000000">
        <w:rPr>
          <w:rFonts w:ascii="Times New Roman" w:cs="Times New Roman" w:eastAsia="Times New Roman" w:hAnsi="Times New Roman"/>
          <w:sz w:val="24"/>
          <w:szCs w:val="24"/>
          <w:rtl w:val="0"/>
        </w:rPr>
        <w:tab/>
        <w:t xml:space="preserve">Finally, the user may navigate to the “References” tab. The user will see a plus (+) sign at the top of the page where they will be able to input information on a medical or financial reference. Once that information is entered it will be stored in Firebase and immediately ready for view on the references page. Similar to the Appointments tab, a trash bin button is available on the tabs for every reference– giving the user the option to remove the reference.</w:t>
      </w: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